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ОЖУР КРУПНОМАСШТАБНОЙ СОЦИОТЕХНИЧЕСКОЙ КОМПАНИИ</w:t>
      </w:r>
      <w:bookmarkStart w:id="2" w:name="_GoBack"/>
      <w:bookmarkEnd w:id="2"/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3" w:name="_Toc275436990"/>
      <w:bookmarkStart w:id="4" w:name="_Toc314226737"/>
      <w:bookmarkStart w:id="5" w:name="_Toc354833727"/>
      <w:bookmarkStart w:id="6" w:name="_Toc411444262"/>
      <w:bookmarkStart w:id="7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3"/>
      <w:bookmarkEnd w:id="4"/>
      <w:bookmarkEnd w:id="5"/>
      <w:bookmarkEnd w:id="6"/>
      <w:bookmarkEnd w:id="7"/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:rsidR="00FE5D75" w:rsidRPr="00B97CB2" w:rsidRDefault="00FE5D75" w:rsidP="00FE5D75">
      <w:pPr>
        <w:pStyle w:val="a3"/>
        <w:jc w:val="both"/>
        <w:rPr>
          <w:sz w:val="24"/>
          <w:szCs w:val="24"/>
        </w:rPr>
      </w:pP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8" w:name="_Toc275436991"/>
      <w:bookmarkStart w:id="9" w:name="_Toc314226738"/>
      <w:bookmarkStart w:id="10" w:name="_Toc354833728"/>
      <w:bookmarkStart w:id="11" w:name="_Toc411444263"/>
      <w:bookmarkStart w:id="12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8"/>
      <w:bookmarkEnd w:id="9"/>
      <w:bookmarkEnd w:id="10"/>
      <w:bookmarkEnd w:id="11"/>
      <w:bookmarkEnd w:id="12"/>
    </w:p>
    <w:p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:rsidR="00FE5D75" w:rsidRPr="00BE6F7C" w:rsidRDefault="00FE5D75" w:rsidP="00FE5D75">
      <w:pPr>
        <w:pStyle w:val="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3" w:name="_Toc275436992"/>
      <w:bookmarkStart w:id="14" w:name="_Toc314226739"/>
      <w:bookmarkStart w:id="15" w:name="_Toc354833729"/>
      <w:bookmarkStart w:id="16" w:name="_Toc411444264"/>
      <w:bookmarkStart w:id="17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3"/>
      <w:bookmarkEnd w:id="14"/>
      <w:bookmarkEnd w:id="15"/>
      <w:bookmarkEnd w:id="16"/>
      <w:bookmarkEnd w:id="17"/>
    </w:p>
    <w:p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</w:t>
      </w:r>
      <w:proofErr w:type="gramStart"/>
      <w:r w:rsidRPr="00323420">
        <w:rPr>
          <w:sz w:val="24"/>
          <w:szCs w:val="24"/>
        </w:rPr>
        <w:t>данные  следует</w:t>
      </w:r>
      <w:proofErr w:type="gramEnd"/>
      <w:r w:rsidRPr="00323420">
        <w:rPr>
          <w:sz w:val="24"/>
          <w:szCs w:val="24"/>
        </w:rPr>
        <w:t xml:space="preserve">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:rsidR="00FE5D75" w:rsidRPr="000A78D9" w:rsidRDefault="00FE5D75" w:rsidP="00FE5D75">
      <w:pPr>
        <w:pStyle w:val="a3"/>
        <w:spacing w:line="360" w:lineRule="auto"/>
        <w:rPr>
          <w:sz w:val="24"/>
          <w:szCs w:val="24"/>
          <w:lang w:val="ru-RU"/>
        </w:rPr>
      </w:pPr>
    </w:p>
    <w:p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:rsidR="00FE5D75" w:rsidRPr="00E77466" w:rsidRDefault="00FE5D75" w:rsidP="00FE5D75">
      <w:pPr>
        <w:pStyle w:val="a3"/>
        <w:spacing w:line="360" w:lineRule="auto"/>
        <w:jc w:val="both"/>
        <w:rPr>
          <w:sz w:val="24"/>
          <w:szCs w:val="24"/>
          <w:lang w:val="ru-RU"/>
        </w:rPr>
      </w:pPr>
    </w:p>
    <w:p w:rsidR="00FE5D75" w:rsidRDefault="00FE5D75" w:rsidP="00FE5D75">
      <w:pPr>
        <w:spacing w:line="360" w:lineRule="auto"/>
        <w:rPr>
          <w:sz w:val="24"/>
          <w:szCs w:val="24"/>
        </w:rPr>
      </w:pPr>
    </w:p>
    <w:p w:rsidR="00FE5D75" w:rsidRPr="00EC352E" w:rsidRDefault="00FE5D75" w:rsidP="00FE5D75">
      <w:pPr>
        <w:pStyle w:val="10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8" w:name="_Toc411448536"/>
      <w:r>
        <w:rPr>
          <w:sz w:val="32"/>
          <w:szCs w:val="32"/>
        </w:rPr>
        <w:lastRenderedPageBreak/>
        <w:t>РЕКОМЕНДАЦИИ ПО ОСВОЕНИЮ</w:t>
      </w:r>
      <w:bookmarkEnd w:id="18"/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>работы с Системой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>оизводителем, либо поставщиком Системы</w:t>
      </w:r>
      <w:r w:rsidRPr="0081605D">
        <w:rPr>
          <w:sz w:val="24"/>
          <w:szCs w:val="24"/>
        </w:rPr>
        <w:t>.</w:t>
      </w:r>
    </w:p>
    <w:p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истемой.</w:t>
      </w:r>
    </w:p>
    <w:p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истемы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</w:t>
      </w:r>
      <w:proofErr w:type="spellStart"/>
      <w:r w:rsidRPr="00AB0790">
        <w:rPr>
          <w:sz w:val="24"/>
          <w:szCs w:val="24"/>
        </w:rPr>
        <w:t>Windows</w:t>
      </w:r>
      <w:proofErr w:type="spellEnd"/>
      <w:r w:rsidRPr="00AB0790">
        <w:rPr>
          <w:sz w:val="24"/>
          <w:szCs w:val="24"/>
        </w:rPr>
        <w:t xml:space="preserve">, MS </w:t>
      </w:r>
      <w:proofErr w:type="spellStart"/>
      <w:r w:rsidRPr="00AB0790">
        <w:rPr>
          <w:sz w:val="24"/>
          <w:szCs w:val="24"/>
        </w:rPr>
        <w:t>Office</w:t>
      </w:r>
      <w:proofErr w:type="spellEnd"/>
      <w:r w:rsidRPr="00AB0790">
        <w:rPr>
          <w:sz w:val="24"/>
          <w:szCs w:val="24"/>
        </w:rPr>
        <w:t xml:space="preserve">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8"/>
    <w:rsid w:val="00227AF6"/>
    <w:rsid w:val="002F06F8"/>
    <w:rsid w:val="0051755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5650-B575-48FC-AC0D-6107739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a"/>
    <w:next w:val="a"/>
    <w:link w:val="20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2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0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aliases w:val="Ïîäðàçäåë Знак,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"/>
    <w:basedOn w:val="a0"/>
    <w:link w:val="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a3">
    <w:name w:val="Body Text"/>
    <w:basedOn w:val="a"/>
    <w:link w:val="a4"/>
    <w:rsid w:val="00FE5D75"/>
    <w:pPr>
      <w:ind w:firstLine="709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Valeriy Raznomazov</cp:lastModifiedBy>
  <cp:revision>2</cp:revision>
  <dcterms:created xsi:type="dcterms:W3CDTF">2016-06-21T12:07:00Z</dcterms:created>
  <dcterms:modified xsi:type="dcterms:W3CDTF">2016-07-07T11:51:00Z</dcterms:modified>
</cp:coreProperties>
</file>